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3368E8CE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5DC">
        <w:rPr>
          <w:noProof/>
        </w:rPr>
        <w:t>4</w:t>
      </w:r>
      <w:r w:rsidR="003415DC" w:rsidRPr="003415DC">
        <w:rPr>
          <w:noProof/>
          <w:vertAlign w:val="superscript"/>
        </w:rPr>
        <w:t>th</w:t>
      </w:r>
      <w:r w:rsidR="003415DC">
        <w:rPr>
          <w:noProof/>
        </w:rPr>
        <w:t xml:space="preserve"> August</w:t>
      </w:r>
      <w:r w:rsidR="0050187D">
        <w:rPr>
          <w:noProof/>
        </w:rPr>
        <w:t xml:space="preserve"> 2022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51E78BC9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3415DC">
        <w:rPr>
          <w:b/>
          <w:bCs/>
        </w:rPr>
        <w:t>10</w:t>
      </w:r>
      <w:r w:rsidR="003415DC" w:rsidRPr="003415DC">
        <w:rPr>
          <w:b/>
          <w:bCs/>
          <w:vertAlign w:val="superscript"/>
        </w:rPr>
        <w:t>th</w:t>
      </w:r>
      <w:r w:rsidR="003415DC">
        <w:rPr>
          <w:b/>
          <w:bCs/>
        </w:rPr>
        <w:t xml:space="preserve"> August at </w:t>
      </w:r>
      <w:r w:rsidR="009115F7">
        <w:rPr>
          <w:b/>
          <w:bCs/>
        </w:rPr>
        <w:t>7.30pm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6627E82B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9115F7">
        <w:rPr>
          <w:sz w:val="20"/>
          <w:szCs w:val="20"/>
        </w:rPr>
        <w:t>13</w:t>
      </w:r>
      <w:r w:rsidR="009115F7" w:rsidRPr="009115F7">
        <w:rPr>
          <w:sz w:val="20"/>
          <w:szCs w:val="20"/>
          <w:vertAlign w:val="superscript"/>
        </w:rPr>
        <w:t>th</w:t>
      </w:r>
      <w:r w:rsidR="009115F7">
        <w:rPr>
          <w:sz w:val="20"/>
          <w:szCs w:val="20"/>
        </w:rPr>
        <w:t xml:space="preserve"> July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5D0F6CA3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</w:p>
    <w:p w14:paraId="1CAF7AFE" w14:textId="63002637" w:rsidR="005A3F7A" w:rsidRPr="005A3F7A" w:rsidRDefault="005A3F7A" w:rsidP="005A3F7A">
      <w:pPr>
        <w:rPr>
          <w:rFonts w:asciiTheme="majorHAnsi" w:eastAsia="Times New Roman" w:hAnsiTheme="majorHAnsi" w:cstheme="majorHAnsi"/>
          <w:lang w:eastAsia="en-GB"/>
        </w:rPr>
      </w:pPr>
      <w:r w:rsidRPr="005A3F7A"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hyperlink r:id="rId8" w:history="1">
        <w:r w:rsidRPr="005A3F7A">
          <w:rPr>
            <w:rFonts w:asciiTheme="majorHAnsi" w:eastAsia="Times New Roman" w:hAnsiTheme="majorHAnsi" w:cstheme="majorHAnsi"/>
            <w:b/>
            <w:bCs/>
            <w:color w:val="0C3B5E"/>
            <w:u w:val="single"/>
            <w:lang w:eastAsia="en-GB"/>
          </w:rPr>
          <w:t>Erection of detached single storey annex, following demolition of existing outbuilding.</w:t>
        </w:r>
      </w:hyperlink>
    </w:p>
    <w:p w14:paraId="21C9515E" w14:textId="77777777" w:rsidR="005A3F7A" w:rsidRPr="005A3F7A" w:rsidRDefault="005A3F7A" w:rsidP="005A3F7A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color w:val="000000"/>
          <w:lang w:eastAsia="en-GB"/>
        </w:rPr>
      </w:pPr>
      <w:r w:rsidRPr="005A3F7A">
        <w:rPr>
          <w:rFonts w:asciiTheme="majorHAnsi" w:eastAsia="Times New Roman" w:hAnsiTheme="majorHAnsi" w:cstheme="majorHAnsi"/>
          <w:color w:val="000000"/>
          <w:lang w:eastAsia="en-GB"/>
        </w:rPr>
        <w:t>Fair View House Terry Hill To Green Street Hemington Frome Somerset BA3 5UN</w:t>
      </w:r>
    </w:p>
    <w:p w14:paraId="43434B9B" w14:textId="77777777" w:rsidR="005A3F7A" w:rsidRDefault="005A3F7A" w:rsidP="005A3F7A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666666"/>
          <w:lang w:eastAsia="en-GB"/>
        </w:rPr>
      </w:pPr>
      <w:r w:rsidRPr="005A3F7A">
        <w:rPr>
          <w:rFonts w:asciiTheme="majorHAnsi" w:eastAsia="Times New Roman" w:hAnsiTheme="majorHAnsi" w:cstheme="majorHAnsi"/>
          <w:color w:val="666666"/>
          <w:lang w:eastAsia="en-GB"/>
        </w:rPr>
        <w:t>Ref. No: 2022/1371/HSE | Received: Wed 06 Jul 2022 | Validated: Wed 20 Jul 2022 | Status: Pending Consideration</w:t>
      </w:r>
    </w:p>
    <w:p w14:paraId="7C6053FE" w14:textId="77777777" w:rsidR="005D06A7" w:rsidRPr="005A3F7A" w:rsidRDefault="005D06A7" w:rsidP="005A3F7A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666666"/>
          <w:lang w:eastAsia="en-GB"/>
        </w:rPr>
      </w:pPr>
    </w:p>
    <w:p w14:paraId="0443265D" w14:textId="01E176F5" w:rsidR="00EC589A" w:rsidRPr="005D06A7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230A7471" w14:textId="548D008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</w:r>
      <w:r w:rsidR="00D20335">
        <w:rPr>
          <w:sz w:val="20"/>
          <w:szCs w:val="20"/>
        </w:rPr>
        <w:t>Progress on play area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8D7F920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621B2774" w14:textId="28616107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B44F64">
        <w:rPr>
          <w:noProof/>
        </w:rPr>
        <w:drawing>
          <wp:inline distT="0" distB="0" distL="0" distR="0" wp14:anchorId="3AD42209" wp14:editId="6FA53D9C">
            <wp:extent cx="2924175" cy="1415156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0559" cy="14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4C7" w14:textId="27AC61FB" w:rsidR="00490211" w:rsidRPr="00E84349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>Balance on Accounts as at 30</w:t>
      </w:r>
      <w:r w:rsidR="009115F7">
        <w:rPr>
          <w:sz w:val="20"/>
          <w:szCs w:val="20"/>
        </w:rPr>
        <w:t>.06.22</w:t>
      </w:r>
      <w:r w:rsidR="00753A24">
        <w:rPr>
          <w:sz w:val="20"/>
          <w:szCs w:val="20"/>
        </w:rPr>
        <w:t xml:space="preserve"> </w:t>
      </w:r>
      <w:r w:rsidR="002D36E0">
        <w:rPr>
          <w:sz w:val="20"/>
          <w:szCs w:val="20"/>
        </w:rPr>
        <w:t>£2</w:t>
      </w:r>
      <w:r w:rsidR="009115F7">
        <w:rPr>
          <w:sz w:val="20"/>
          <w:szCs w:val="20"/>
        </w:rPr>
        <w:t>3</w:t>
      </w:r>
      <w:r w:rsidR="00D20335">
        <w:rPr>
          <w:sz w:val="20"/>
          <w:szCs w:val="20"/>
        </w:rPr>
        <w:t>019.41</w:t>
      </w:r>
      <w:r w:rsidR="002D36E0">
        <w:rPr>
          <w:sz w:val="20"/>
          <w:szCs w:val="20"/>
        </w:rPr>
        <w:t xml:space="preserve"> –  Statement not received for Ju</w:t>
      </w:r>
      <w:r w:rsidR="00D20335">
        <w:rPr>
          <w:sz w:val="20"/>
          <w:szCs w:val="20"/>
        </w:rPr>
        <w:t>ly.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77777777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A91F9B">
        <w:rPr>
          <w:sz w:val="20"/>
          <w:szCs w:val="20"/>
        </w:rPr>
        <w:t>Update on SIDs and V</w:t>
      </w:r>
      <w:r w:rsidR="004C3DFF">
        <w:rPr>
          <w:sz w:val="20"/>
          <w:szCs w:val="20"/>
        </w:rPr>
        <w:t>AS</w:t>
      </w:r>
    </w:p>
    <w:p w14:paraId="66D0027D" w14:textId="5D505455" w:rsidR="00C345F0" w:rsidRDefault="000E719D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Feedback update reference Lavender Close</w:t>
      </w:r>
      <w:r w:rsidR="00881D47">
        <w:rPr>
          <w:sz w:val="20"/>
          <w:szCs w:val="20"/>
        </w:rPr>
        <w:t xml:space="preserve"> 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27D13633" w14:textId="76A45035" w:rsidR="000E719D" w:rsidRDefault="000E0FCE" w:rsidP="000E719D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2C28CD">
        <w:rPr>
          <w:sz w:val="20"/>
          <w:szCs w:val="20"/>
        </w:rPr>
        <w:t xml:space="preserve">Annual Check on Voter </w:t>
      </w:r>
      <w:r w:rsidR="00171665">
        <w:rPr>
          <w:sz w:val="20"/>
          <w:szCs w:val="20"/>
        </w:rPr>
        <w:t>details by MDC</w:t>
      </w:r>
    </w:p>
    <w:p w14:paraId="309BD965" w14:textId="01FCCDBB" w:rsidR="00171665" w:rsidRDefault="0012137A" w:rsidP="000E719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>Mendip Rural Parishes Liaison Group meeting on the 11</w:t>
      </w:r>
      <w:r w:rsidRPr="001213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</w:t>
      </w:r>
    </w:p>
    <w:p w14:paraId="3944FEDD" w14:textId="5BCCA675" w:rsidR="00710C3C" w:rsidRPr="000E0FCE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29C9FE18" w:rsidR="007B57BC" w:rsidRPr="00527C67" w:rsidRDefault="00415C57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527C67">
        <w:rPr>
          <w:b/>
          <w:bCs/>
          <w:sz w:val="24"/>
          <w:szCs w:val="24"/>
        </w:rPr>
        <w:t>Matters of Report and Items for next meeting</w:t>
      </w:r>
      <w:r w:rsidR="007B57BC" w:rsidRPr="00527C67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Default="00FF5C2D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078B238A" w14:textId="533E9AD7" w:rsidR="00730AF7" w:rsidRPr="00561410" w:rsidRDefault="00527C67" w:rsidP="00730AF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12.1 </w:t>
      </w:r>
      <w:r>
        <w:rPr>
          <w:sz w:val="20"/>
          <w:szCs w:val="20"/>
        </w:rPr>
        <w:tab/>
      </w:r>
      <w:r w:rsidR="00D20335">
        <w:rPr>
          <w:sz w:val="20"/>
          <w:szCs w:val="20"/>
        </w:rPr>
        <w:t>14</w:t>
      </w:r>
      <w:r w:rsidR="00D20335" w:rsidRPr="00D20335">
        <w:rPr>
          <w:sz w:val="20"/>
          <w:szCs w:val="20"/>
          <w:vertAlign w:val="superscript"/>
        </w:rPr>
        <w:t>th</w:t>
      </w:r>
      <w:r w:rsidR="00D20335">
        <w:rPr>
          <w:sz w:val="20"/>
          <w:szCs w:val="20"/>
        </w:rPr>
        <w:t xml:space="preserve"> September at 7.30pm </w:t>
      </w:r>
      <w:r>
        <w:rPr>
          <w:sz w:val="20"/>
          <w:szCs w:val="20"/>
        </w:rPr>
        <w:t xml:space="preserve"> </w:t>
      </w:r>
    </w:p>
    <w:p w14:paraId="39044E01" w14:textId="77777777" w:rsidR="008E1CAE" w:rsidRPr="00561410" w:rsidRDefault="008E1CAE" w:rsidP="008E1CAE">
      <w:pPr>
        <w:pStyle w:val="ListParagraph"/>
        <w:rPr>
          <w:sz w:val="20"/>
          <w:szCs w:val="20"/>
        </w:rPr>
      </w:pPr>
    </w:p>
    <w:p w14:paraId="417750B9" w14:textId="3DF90DCB" w:rsidR="00F0372E" w:rsidRPr="00EF6FE9" w:rsidRDefault="008E1CAE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D906" w14:textId="77777777" w:rsidR="00822A2B" w:rsidRDefault="00822A2B" w:rsidP="00FD39FA">
      <w:pPr>
        <w:spacing w:after="0" w:line="240" w:lineRule="auto"/>
      </w:pPr>
      <w:r>
        <w:separator/>
      </w:r>
    </w:p>
  </w:endnote>
  <w:endnote w:type="continuationSeparator" w:id="0">
    <w:p w14:paraId="752762C4" w14:textId="77777777" w:rsidR="00822A2B" w:rsidRDefault="00822A2B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0B18" w14:textId="77777777" w:rsidR="00CE6EAB" w:rsidRDefault="00CE6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007B6DBB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E6EAB">
      <w:rPr>
        <w:sz w:val="18"/>
        <w:szCs w:val="18"/>
      </w:rPr>
      <w:t>August</w:t>
    </w:r>
    <w:r w:rsidR="00A96809">
      <w:rPr>
        <w:sz w:val="18"/>
        <w:szCs w:val="18"/>
      </w:rPr>
      <w:t xml:space="preserve"> Agenda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610CB9A1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E6EAB">
      <w:rPr>
        <w:sz w:val="18"/>
        <w:szCs w:val="18"/>
      </w:rPr>
      <w:t>August</w:t>
    </w:r>
    <w:r w:rsidR="00A96809">
      <w:rPr>
        <w:sz w:val="18"/>
        <w:szCs w:val="18"/>
      </w:rPr>
      <w:t xml:space="preserve"> Agenda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2CD" w14:textId="77777777" w:rsidR="00822A2B" w:rsidRDefault="00822A2B" w:rsidP="00FD39FA">
      <w:pPr>
        <w:spacing w:after="0" w:line="240" w:lineRule="auto"/>
      </w:pPr>
      <w:r>
        <w:separator/>
      </w:r>
    </w:p>
  </w:footnote>
  <w:footnote w:type="continuationSeparator" w:id="0">
    <w:p w14:paraId="19AB93FA" w14:textId="77777777" w:rsidR="00822A2B" w:rsidRDefault="00822A2B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5485" w14:textId="77777777" w:rsidR="00CE6EAB" w:rsidRDefault="00CE6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1A8" w14:textId="77777777" w:rsidR="00CE6EAB" w:rsidRDefault="00CE6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hybridMultilevel"/>
    <w:tmpl w:val="7356486E"/>
    <w:lvl w:ilvl="0" w:tplc="B142E62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E0FCE"/>
    <w:rsid w:val="000E719D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2137A"/>
    <w:rsid w:val="0013023A"/>
    <w:rsid w:val="001311E5"/>
    <w:rsid w:val="001370F7"/>
    <w:rsid w:val="001472D0"/>
    <w:rsid w:val="00150A02"/>
    <w:rsid w:val="001612FA"/>
    <w:rsid w:val="00171665"/>
    <w:rsid w:val="0017508D"/>
    <w:rsid w:val="0018690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874A0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F32C5"/>
    <w:rsid w:val="002F6203"/>
    <w:rsid w:val="0030064A"/>
    <w:rsid w:val="003006A3"/>
    <w:rsid w:val="00304185"/>
    <w:rsid w:val="003050DB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0211"/>
    <w:rsid w:val="00491350"/>
    <w:rsid w:val="00496F58"/>
    <w:rsid w:val="00497D41"/>
    <w:rsid w:val="004A1E9D"/>
    <w:rsid w:val="004A24AF"/>
    <w:rsid w:val="004B5917"/>
    <w:rsid w:val="004C3DFF"/>
    <w:rsid w:val="004C548D"/>
    <w:rsid w:val="004C7305"/>
    <w:rsid w:val="004D0149"/>
    <w:rsid w:val="004D4B2B"/>
    <w:rsid w:val="004D795E"/>
    <w:rsid w:val="004E159D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56165"/>
    <w:rsid w:val="00556255"/>
    <w:rsid w:val="00561410"/>
    <w:rsid w:val="005622C7"/>
    <w:rsid w:val="00564183"/>
    <w:rsid w:val="005647E4"/>
    <w:rsid w:val="00566DE5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701B08"/>
    <w:rsid w:val="0070667B"/>
    <w:rsid w:val="00706EE7"/>
    <w:rsid w:val="00710C3C"/>
    <w:rsid w:val="0072109B"/>
    <w:rsid w:val="0072184B"/>
    <w:rsid w:val="00725B30"/>
    <w:rsid w:val="00730AF7"/>
    <w:rsid w:val="0073225C"/>
    <w:rsid w:val="007349CB"/>
    <w:rsid w:val="00753A24"/>
    <w:rsid w:val="007608A3"/>
    <w:rsid w:val="00767E99"/>
    <w:rsid w:val="00771B23"/>
    <w:rsid w:val="007726E1"/>
    <w:rsid w:val="00773953"/>
    <w:rsid w:val="00780ECD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7190F"/>
    <w:rsid w:val="00877B72"/>
    <w:rsid w:val="00880C96"/>
    <w:rsid w:val="00881D47"/>
    <w:rsid w:val="00897741"/>
    <w:rsid w:val="008A163E"/>
    <w:rsid w:val="008B7F70"/>
    <w:rsid w:val="008C00A9"/>
    <w:rsid w:val="008C3544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5EE2"/>
    <w:rsid w:val="00966DD9"/>
    <w:rsid w:val="00975F01"/>
    <w:rsid w:val="009855CB"/>
    <w:rsid w:val="00990566"/>
    <w:rsid w:val="009B5F74"/>
    <w:rsid w:val="009C2D3A"/>
    <w:rsid w:val="009C6233"/>
    <w:rsid w:val="009D116A"/>
    <w:rsid w:val="009D184B"/>
    <w:rsid w:val="009D5D6C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44F64"/>
    <w:rsid w:val="00B501FC"/>
    <w:rsid w:val="00B61F11"/>
    <w:rsid w:val="00B67F4C"/>
    <w:rsid w:val="00B75323"/>
    <w:rsid w:val="00B75CC5"/>
    <w:rsid w:val="00B8470D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7202"/>
    <w:rsid w:val="00C5073D"/>
    <w:rsid w:val="00C509A9"/>
    <w:rsid w:val="00C512F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4BD9"/>
    <w:rsid w:val="00D105BA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E5B5C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2355"/>
    <w:rsid w:val="00E64106"/>
    <w:rsid w:val="00E75682"/>
    <w:rsid w:val="00E83644"/>
    <w:rsid w:val="00E84349"/>
    <w:rsid w:val="00E87129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F67"/>
    <w:rsid w:val="00F41547"/>
    <w:rsid w:val="00F4255B"/>
    <w:rsid w:val="00F4439F"/>
    <w:rsid w:val="00F4513D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A1102"/>
    <w:rsid w:val="00FA1575"/>
    <w:rsid w:val="00FA3381"/>
    <w:rsid w:val="00FB011C"/>
    <w:rsid w:val="00FB214B"/>
    <w:rsid w:val="00FC38B5"/>
    <w:rsid w:val="00FC6901"/>
    <w:rsid w:val="00FD38D2"/>
    <w:rsid w:val="00FD39FA"/>
    <w:rsid w:val="00FE2C5F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mendip.gov.uk/online-applications/applicationDetails.do?activeTab=summary&amp;keyVal=REJB71KPHH500&amp;prevPage=inTra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13</cp:revision>
  <cp:lastPrinted>2022-06-08T15:05:00Z</cp:lastPrinted>
  <dcterms:created xsi:type="dcterms:W3CDTF">2022-08-04T09:09:00Z</dcterms:created>
  <dcterms:modified xsi:type="dcterms:W3CDTF">2022-08-04T09:24:00Z</dcterms:modified>
</cp:coreProperties>
</file>